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CE73F2" w14:textId="77777777" w:rsidR="006351A3" w:rsidRPr="003E6948" w:rsidRDefault="00D31C11" w:rsidP="003E6948">
      <w:pPr>
        <w:spacing w:line="480" w:lineRule="auto"/>
        <w:rPr>
          <w:rFonts w:ascii="Times New Roman" w:hAnsi="Times New Roman" w:cs="Times New Roman"/>
          <w:b/>
          <w:sz w:val="24"/>
          <w:szCs w:val="24"/>
        </w:rPr>
      </w:pPr>
      <w:r w:rsidRPr="000E59F5">
        <w:rPr>
          <w:rFonts w:ascii="Times New Roman" w:hAnsi="Times New Roman" w:cs="Times New Roman"/>
          <w:b/>
          <w:sz w:val="24"/>
          <w:szCs w:val="24"/>
        </w:rPr>
        <w:t>Case Citation</w:t>
      </w:r>
      <w:r w:rsidR="003E6948">
        <w:rPr>
          <w:rFonts w:ascii="Times New Roman" w:hAnsi="Times New Roman" w:cs="Times New Roman"/>
          <w:b/>
          <w:sz w:val="24"/>
          <w:szCs w:val="24"/>
        </w:rPr>
        <w:t xml:space="preserve">: </w:t>
      </w:r>
      <w:r w:rsidRPr="000E59F5">
        <w:rPr>
          <w:rFonts w:ascii="Times New Roman" w:hAnsi="Times New Roman" w:cs="Times New Roman"/>
          <w:sz w:val="24"/>
          <w:szCs w:val="24"/>
        </w:rPr>
        <w:t xml:space="preserve">The case is called Wells versus Lester E. Cox Medical Center. </w:t>
      </w:r>
      <w:r w:rsidR="000029E2" w:rsidRPr="000E59F5">
        <w:rPr>
          <w:rFonts w:ascii="Times New Roman" w:hAnsi="Times New Roman" w:cs="Times New Roman"/>
          <w:sz w:val="24"/>
          <w:szCs w:val="24"/>
        </w:rPr>
        <w:t>It was filed on 9</w:t>
      </w:r>
      <w:r w:rsidR="000029E2" w:rsidRPr="000E59F5">
        <w:rPr>
          <w:rFonts w:ascii="Times New Roman" w:hAnsi="Times New Roman" w:cs="Times New Roman"/>
          <w:sz w:val="24"/>
          <w:szCs w:val="24"/>
          <w:vertAlign w:val="superscript"/>
        </w:rPr>
        <w:t>th</w:t>
      </w:r>
      <w:r w:rsidR="000029E2" w:rsidRPr="000E59F5">
        <w:rPr>
          <w:rFonts w:ascii="Times New Roman" w:hAnsi="Times New Roman" w:cs="Times New Roman"/>
          <w:sz w:val="24"/>
          <w:szCs w:val="24"/>
        </w:rPr>
        <w:t xml:space="preserve"> October 2012 at Missouri Court</w:t>
      </w:r>
      <w:r w:rsidR="00027AC1" w:rsidRPr="000E59F5">
        <w:rPr>
          <w:rFonts w:ascii="Times New Roman" w:hAnsi="Times New Roman" w:cs="Times New Roman"/>
          <w:sz w:val="24"/>
          <w:szCs w:val="24"/>
        </w:rPr>
        <w:t xml:space="preserve"> of Appeals, Southern District,</w:t>
      </w:r>
      <w:r w:rsidR="000029E2" w:rsidRPr="000E59F5">
        <w:rPr>
          <w:rFonts w:ascii="Times New Roman" w:hAnsi="Times New Roman" w:cs="Times New Roman"/>
          <w:sz w:val="24"/>
          <w:szCs w:val="24"/>
        </w:rPr>
        <w:t xml:space="preserve"> Division Two. </w:t>
      </w:r>
    </w:p>
    <w:p w14:paraId="6442DD09" w14:textId="77777777" w:rsidR="000029E2" w:rsidRPr="003E6948" w:rsidRDefault="00D31C11" w:rsidP="003E6948">
      <w:pPr>
        <w:spacing w:after="0" w:line="480" w:lineRule="auto"/>
        <w:contextualSpacing/>
        <w:rPr>
          <w:rFonts w:ascii="Times New Roman" w:hAnsi="Times New Roman" w:cs="Times New Roman"/>
          <w:b/>
          <w:sz w:val="24"/>
          <w:szCs w:val="24"/>
        </w:rPr>
      </w:pPr>
      <w:r w:rsidRPr="000E59F5">
        <w:rPr>
          <w:rFonts w:ascii="Times New Roman" w:hAnsi="Times New Roman" w:cs="Times New Roman"/>
          <w:b/>
          <w:sz w:val="24"/>
          <w:szCs w:val="24"/>
        </w:rPr>
        <w:t>Issue</w:t>
      </w:r>
      <w:r w:rsidR="003E6948">
        <w:rPr>
          <w:rFonts w:ascii="Times New Roman" w:hAnsi="Times New Roman" w:cs="Times New Roman"/>
          <w:b/>
          <w:sz w:val="24"/>
          <w:szCs w:val="24"/>
        </w:rPr>
        <w:t xml:space="preserve">: </w:t>
      </w:r>
      <w:r w:rsidRPr="000E59F5">
        <w:rPr>
          <w:rFonts w:ascii="Times New Roman" w:hAnsi="Times New Roman" w:cs="Times New Roman"/>
          <w:sz w:val="24"/>
          <w:szCs w:val="24"/>
        </w:rPr>
        <w:t>The legal question in the case is whether schools should deny learners with disabilities the opportunity to study if their conditions would alter the meeting of professional goals and objectives. Therefore, the judges were to decide how administrations should handle cases where learners have disabilities that affect the execution of the needed tasks in the profession.</w:t>
      </w:r>
    </w:p>
    <w:p w14:paraId="74267F1A" w14:textId="030C529A" w:rsidR="00CA6D61" w:rsidRPr="003E6948" w:rsidRDefault="00D31C11" w:rsidP="003E6948">
      <w:pPr>
        <w:spacing w:after="0" w:line="480" w:lineRule="auto"/>
        <w:contextualSpacing/>
        <w:rPr>
          <w:rFonts w:ascii="Times New Roman" w:hAnsi="Times New Roman" w:cs="Times New Roman"/>
          <w:b/>
          <w:sz w:val="24"/>
          <w:szCs w:val="24"/>
        </w:rPr>
      </w:pPr>
      <w:r w:rsidRPr="000E59F5">
        <w:rPr>
          <w:rFonts w:ascii="Times New Roman" w:hAnsi="Times New Roman" w:cs="Times New Roman"/>
          <w:b/>
          <w:sz w:val="24"/>
          <w:szCs w:val="24"/>
        </w:rPr>
        <w:t>Facts</w:t>
      </w:r>
      <w:r w:rsidR="003E6948">
        <w:rPr>
          <w:rFonts w:ascii="Times New Roman" w:hAnsi="Times New Roman" w:cs="Times New Roman"/>
          <w:b/>
          <w:sz w:val="24"/>
          <w:szCs w:val="24"/>
        </w:rPr>
        <w:t xml:space="preserve">: </w:t>
      </w:r>
      <w:r w:rsidRPr="000E59F5">
        <w:rPr>
          <w:rFonts w:ascii="Times New Roman" w:hAnsi="Times New Roman" w:cs="Times New Roman"/>
          <w:sz w:val="24"/>
          <w:szCs w:val="24"/>
        </w:rPr>
        <w:t xml:space="preserve">The parties involved in the case are Jessica Wells, the plaintiff, and Lester E. Cox Medical Center, the Nursing and Health Sciences Department, the defendant. Wells suffers from hearing loss since the age of three, and the situation became worse due to delayed assistance. In 2006, Wells was admitted into College’s overall education program, </w:t>
      </w:r>
      <w:r w:rsidR="006E6E38" w:rsidRPr="000E59F5">
        <w:rPr>
          <w:rFonts w:ascii="Times New Roman" w:hAnsi="Times New Roman" w:cs="Times New Roman"/>
          <w:sz w:val="24"/>
          <w:szCs w:val="24"/>
        </w:rPr>
        <w:t xml:space="preserve">compensations </w:t>
      </w:r>
      <w:r w:rsidR="006E6E38">
        <w:rPr>
          <w:rFonts w:ascii="Times New Roman" w:hAnsi="Times New Roman" w:cs="Times New Roman"/>
          <w:sz w:val="24"/>
          <w:szCs w:val="24"/>
        </w:rPr>
        <w:t xml:space="preserve">for hearing aid tools </w:t>
      </w:r>
      <w:r w:rsidRPr="000E59F5">
        <w:rPr>
          <w:rFonts w:ascii="Times New Roman" w:hAnsi="Times New Roman" w:cs="Times New Roman"/>
          <w:sz w:val="24"/>
          <w:szCs w:val="24"/>
        </w:rPr>
        <w:t>as acc</w:t>
      </w:r>
      <w:r w:rsidR="00D609D6">
        <w:rPr>
          <w:rFonts w:ascii="Times New Roman" w:hAnsi="Times New Roman" w:cs="Times New Roman"/>
          <w:sz w:val="24"/>
          <w:szCs w:val="24"/>
        </w:rPr>
        <w:t xml:space="preserve">ommodations of the disability. </w:t>
      </w:r>
      <w:r w:rsidRPr="000E59F5">
        <w:rPr>
          <w:rFonts w:ascii="Times New Roman" w:hAnsi="Times New Roman" w:cs="Times New Roman"/>
          <w:sz w:val="24"/>
          <w:szCs w:val="24"/>
        </w:rPr>
        <w:t>In 2007, the College directed Janice lee, research whether Wells would perform well in the nursing field with the hearing loss. Lee r</w:t>
      </w:r>
      <w:r w:rsidR="00D609D6">
        <w:rPr>
          <w:rFonts w:ascii="Times New Roman" w:hAnsi="Times New Roman" w:cs="Times New Roman"/>
          <w:sz w:val="24"/>
          <w:szCs w:val="24"/>
        </w:rPr>
        <w:t>eported that if the student was</w:t>
      </w:r>
      <w:r w:rsidRPr="000E59F5">
        <w:rPr>
          <w:rFonts w:ascii="Times New Roman" w:hAnsi="Times New Roman" w:cs="Times New Roman"/>
          <w:sz w:val="24"/>
          <w:szCs w:val="24"/>
        </w:rPr>
        <w:t xml:space="preserve"> willing and determined to be a nurse, the complication would not affect</w:t>
      </w:r>
      <w:r w:rsidR="00D609D6">
        <w:rPr>
          <w:rFonts w:ascii="Times New Roman" w:hAnsi="Times New Roman" w:cs="Times New Roman"/>
          <w:sz w:val="24"/>
          <w:szCs w:val="24"/>
        </w:rPr>
        <w:t xml:space="preserve"> her</w:t>
      </w:r>
      <w:r w:rsidRPr="000E59F5">
        <w:rPr>
          <w:rFonts w:ascii="Times New Roman" w:hAnsi="Times New Roman" w:cs="Times New Roman"/>
          <w:sz w:val="24"/>
          <w:szCs w:val="24"/>
        </w:rPr>
        <w:t xml:space="preserve">. However, she would encounter challenges due to stereotypes and prejudice. </w:t>
      </w:r>
    </w:p>
    <w:p w14:paraId="03E70AAD" w14:textId="38863802" w:rsidR="00CA6D61" w:rsidRPr="000E59F5" w:rsidRDefault="00D31C11" w:rsidP="000E59F5">
      <w:pPr>
        <w:spacing w:after="0" w:line="480" w:lineRule="auto"/>
        <w:ind w:firstLine="720"/>
        <w:contextualSpacing/>
        <w:rPr>
          <w:rFonts w:ascii="Times New Roman" w:hAnsi="Times New Roman" w:cs="Times New Roman"/>
          <w:sz w:val="24"/>
          <w:szCs w:val="24"/>
        </w:rPr>
      </w:pPr>
      <w:r w:rsidRPr="000E59F5">
        <w:rPr>
          <w:rFonts w:ascii="Times New Roman" w:hAnsi="Times New Roman" w:cs="Times New Roman"/>
          <w:sz w:val="24"/>
          <w:szCs w:val="24"/>
        </w:rPr>
        <w:t>Before the</w:t>
      </w:r>
      <w:r w:rsidR="00FD41B8" w:rsidRPr="000E59F5">
        <w:rPr>
          <w:rFonts w:ascii="Times New Roman" w:hAnsi="Times New Roman" w:cs="Times New Roman"/>
          <w:sz w:val="24"/>
          <w:szCs w:val="24"/>
        </w:rPr>
        <w:t xml:space="preserve"> classes began in 2007, Wells was given new hearing aids with the expectation </w:t>
      </w:r>
      <w:r w:rsidRPr="000E59F5">
        <w:rPr>
          <w:rFonts w:ascii="Times New Roman" w:hAnsi="Times New Roman" w:cs="Times New Roman"/>
          <w:sz w:val="24"/>
          <w:szCs w:val="24"/>
        </w:rPr>
        <w:t>that she</w:t>
      </w:r>
      <w:r w:rsidR="00FD41B8" w:rsidRPr="000E59F5">
        <w:rPr>
          <w:rFonts w:ascii="Times New Roman" w:hAnsi="Times New Roman" w:cs="Times New Roman"/>
          <w:sz w:val="24"/>
          <w:szCs w:val="24"/>
        </w:rPr>
        <w:t xml:space="preserve"> would not need the ASL interpreter during the clinical sessions. The Missouri Department of Vocational Rehabilitation took care </w:t>
      </w:r>
      <w:r w:rsidRPr="000E59F5">
        <w:rPr>
          <w:rFonts w:ascii="Times New Roman" w:hAnsi="Times New Roman" w:cs="Times New Roman"/>
          <w:sz w:val="24"/>
          <w:szCs w:val="24"/>
        </w:rPr>
        <w:t>of</w:t>
      </w:r>
      <w:r w:rsidR="006E6E38">
        <w:rPr>
          <w:rFonts w:ascii="Times New Roman" w:hAnsi="Times New Roman" w:cs="Times New Roman"/>
          <w:sz w:val="24"/>
          <w:szCs w:val="24"/>
        </w:rPr>
        <w:t xml:space="preserve"> three quarter</w:t>
      </w:r>
      <w:r w:rsidR="00FD41B8" w:rsidRPr="000E59F5">
        <w:rPr>
          <w:rFonts w:ascii="Times New Roman" w:hAnsi="Times New Roman" w:cs="Times New Roman"/>
          <w:sz w:val="24"/>
          <w:szCs w:val="24"/>
        </w:rPr>
        <w:t xml:space="preserve"> of the school's money</w:t>
      </w:r>
      <w:r w:rsidR="00D609D6">
        <w:rPr>
          <w:rFonts w:ascii="Times New Roman" w:hAnsi="Times New Roman" w:cs="Times New Roman"/>
          <w:sz w:val="24"/>
          <w:szCs w:val="24"/>
        </w:rPr>
        <w:t xml:space="preserve"> to buy the above hearing aids. </w:t>
      </w:r>
      <w:r w:rsidRPr="000E59F5">
        <w:rPr>
          <w:rFonts w:ascii="Times New Roman" w:hAnsi="Times New Roman" w:cs="Times New Roman"/>
          <w:sz w:val="24"/>
          <w:szCs w:val="24"/>
        </w:rPr>
        <w:t xml:space="preserve">During the 2008 spring, the learner asked more </w:t>
      </w:r>
      <w:r w:rsidR="006E6E38">
        <w:rPr>
          <w:rFonts w:ascii="Times New Roman" w:hAnsi="Times New Roman" w:cs="Times New Roman"/>
          <w:sz w:val="24"/>
          <w:szCs w:val="24"/>
        </w:rPr>
        <w:t xml:space="preserve">hearing tools </w:t>
      </w:r>
      <w:r w:rsidRPr="000E59F5">
        <w:rPr>
          <w:rFonts w:ascii="Times New Roman" w:hAnsi="Times New Roman" w:cs="Times New Roman"/>
          <w:sz w:val="24"/>
          <w:szCs w:val="24"/>
        </w:rPr>
        <w:t xml:space="preserve">to finish her </w:t>
      </w:r>
      <w:r w:rsidR="006E6E38">
        <w:rPr>
          <w:rFonts w:ascii="Times New Roman" w:hAnsi="Times New Roman" w:cs="Times New Roman"/>
          <w:sz w:val="24"/>
          <w:szCs w:val="24"/>
        </w:rPr>
        <w:t>unit</w:t>
      </w:r>
      <w:r w:rsidRPr="000E59F5">
        <w:rPr>
          <w:rFonts w:ascii="Times New Roman" w:hAnsi="Times New Roman" w:cs="Times New Roman"/>
          <w:sz w:val="24"/>
          <w:szCs w:val="24"/>
        </w:rPr>
        <w:t xml:space="preserve"> and </w:t>
      </w:r>
      <w:r w:rsidR="00D609D6">
        <w:rPr>
          <w:rFonts w:ascii="Times New Roman" w:hAnsi="Times New Roman" w:cs="Times New Roman"/>
          <w:sz w:val="24"/>
          <w:szCs w:val="24"/>
        </w:rPr>
        <w:t xml:space="preserve">the New Year's clinical tasks. </w:t>
      </w:r>
      <w:r w:rsidRPr="000E59F5">
        <w:rPr>
          <w:rFonts w:ascii="Times New Roman" w:hAnsi="Times New Roman" w:cs="Times New Roman"/>
          <w:sz w:val="24"/>
          <w:szCs w:val="24"/>
        </w:rPr>
        <w:t xml:space="preserve">The College rejected the request and eliminated the plaintiff from the ASN program. The school said that the hearing loss would partially or wholly affect the student's competence to execute clinical rotation roles. In 2009, Wells </w:t>
      </w:r>
      <w:r w:rsidR="00BE3E27">
        <w:rPr>
          <w:rFonts w:ascii="Times New Roman" w:hAnsi="Times New Roman" w:cs="Times New Roman"/>
          <w:sz w:val="24"/>
          <w:szCs w:val="24"/>
        </w:rPr>
        <w:t>took a step to file</w:t>
      </w:r>
      <w:r w:rsidRPr="000E59F5">
        <w:rPr>
          <w:rFonts w:ascii="Times New Roman" w:hAnsi="Times New Roman" w:cs="Times New Roman"/>
          <w:sz w:val="24"/>
          <w:szCs w:val="24"/>
        </w:rPr>
        <w:t xml:space="preserve"> a case in </w:t>
      </w:r>
      <w:r w:rsidR="00BE3E27">
        <w:rPr>
          <w:rFonts w:ascii="Times New Roman" w:hAnsi="Times New Roman" w:cs="Times New Roman"/>
          <w:sz w:val="24"/>
          <w:szCs w:val="24"/>
        </w:rPr>
        <w:t xml:space="preserve">Circuit Court, </w:t>
      </w:r>
      <w:r w:rsidRPr="000E59F5">
        <w:rPr>
          <w:rFonts w:ascii="Times New Roman" w:hAnsi="Times New Roman" w:cs="Times New Roman"/>
          <w:sz w:val="24"/>
          <w:szCs w:val="24"/>
        </w:rPr>
        <w:t xml:space="preserve">Greene County, claiming the violation of section 213.065 of MHRA, which says that learners should be given reasonable accommodations to perform similarly with the others.  </w:t>
      </w:r>
    </w:p>
    <w:p w14:paraId="519136A2" w14:textId="743402D4" w:rsidR="00CA6D61" w:rsidRPr="003E6948" w:rsidRDefault="00D31C11" w:rsidP="003E6948">
      <w:pPr>
        <w:spacing w:after="0" w:line="480" w:lineRule="auto"/>
        <w:contextualSpacing/>
        <w:rPr>
          <w:rFonts w:ascii="Times New Roman" w:hAnsi="Times New Roman" w:cs="Times New Roman"/>
          <w:b/>
          <w:sz w:val="24"/>
          <w:szCs w:val="24"/>
        </w:rPr>
      </w:pPr>
      <w:r w:rsidRPr="000E59F5">
        <w:rPr>
          <w:rFonts w:ascii="Times New Roman" w:hAnsi="Times New Roman" w:cs="Times New Roman"/>
          <w:b/>
          <w:sz w:val="24"/>
          <w:szCs w:val="24"/>
        </w:rPr>
        <w:lastRenderedPageBreak/>
        <w:t>Court’s Answer to the Legal Question</w:t>
      </w:r>
      <w:r w:rsidR="003E6948">
        <w:rPr>
          <w:rFonts w:ascii="Times New Roman" w:hAnsi="Times New Roman" w:cs="Times New Roman"/>
          <w:b/>
          <w:sz w:val="24"/>
          <w:szCs w:val="24"/>
        </w:rPr>
        <w:t xml:space="preserve">: </w:t>
      </w:r>
      <w:r w:rsidRPr="000E59F5">
        <w:rPr>
          <w:rFonts w:ascii="Times New Roman" w:hAnsi="Times New Roman" w:cs="Times New Roman"/>
          <w:sz w:val="24"/>
          <w:szCs w:val="24"/>
        </w:rPr>
        <w:t>The court’s answer was based on MHRA’s definition of disability. It is</w:t>
      </w:r>
      <w:r w:rsidR="006E6E38">
        <w:rPr>
          <w:rFonts w:ascii="Times New Roman" w:hAnsi="Times New Roman" w:cs="Times New Roman"/>
          <w:sz w:val="24"/>
          <w:szCs w:val="24"/>
        </w:rPr>
        <w:t xml:space="preserve"> where a physical or emotional condition develop imparting either whole or part of a person’s major life activity. Besides, the person should perform the need job whether acco</w:t>
      </w:r>
      <w:r w:rsidR="00D609D6">
        <w:rPr>
          <w:rFonts w:ascii="Times New Roman" w:hAnsi="Times New Roman" w:cs="Times New Roman"/>
          <w:sz w:val="24"/>
          <w:szCs w:val="24"/>
        </w:rPr>
        <w:t xml:space="preserve">mmodations are provided or not </w:t>
      </w:r>
      <w:r w:rsidR="00CC20EE" w:rsidRPr="000E59F5">
        <w:rPr>
          <w:rFonts w:ascii="Times New Roman" w:hAnsi="Times New Roman" w:cs="Times New Roman"/>
          <w:sz w:val="24"/>
          <w:szCs w:val="24"/>
        </w:rPr>
        <w:t xml:space="preserve">(Wells versus Lester E. Cox Medical Center, 2012). </w:t>
      </w:r>
      <w:r w:rsidR="00014D15" w:rsidRPr="000E59F5">
        <w:rPr>
          <w:rFonts w:ascii="Times New Roman" w:hAnsi="Times New Roman" w:cs="Times New Roman"/>
          <w:sz w:val="24"/>
          <w:szCs w:val="24"/>
        </w:rPr>
        <w:t>The court categorized this definition into two. The person must have an issue affecting a chief life activity, and the case should not affect the functioning of the work, whether the accommodations are given or not. Reasonable accommodation means that undue financial or burdens are not introduced, and the pr</w:t>
      </w:r>
      <w:r w:rsidR="00D609D6">
        <w:rPr>
          <w:rFonts w:ascii="Times New Roman" w:hAnsi="Times New Roman" w:cs="Times New Roman"/>
          <w:sz w:val="24"/>
          <w:szCs w:val="24"/>
        </w:rPr>
        <w:t xml:space="preserve">ograms' nature is not altered. </w:t>
      </w:r>
      <w:r w:rsidR="00014D15" w:rsidRPr="000E59F5">
        <w:rPr>
          <w:rFonts w:ascii="Times New Roman" w:hAnsi="Times New Roman" w:cs="Times New Roman"/>
          <w:sz w:val="24"/>
          <w:szCs w:val="24"/>
        </w:rPr>
        <w:t xml:space="preserve">The College insisted that providing the ASL translator during the clinical </w:t>
      </w:r>
      <w:r w:rsidR="00C319C8" w:rsidRPr="000E59F5">
        <w:rPr>
          <w:rFonts w:ascii="Times New Roman" w:hAnsi="Times New Roman" w:cs="Times New Roman"/>
          <w:sz w:val="24"/>
          <w:szCs w:val="24"/>
        </w:rPr>
        <w:t>rotations</w:t>
      </w:r>
      <w:r w:rsidR="00014D15" w:rsidRPr="000E59F5">
        <w:rPr>
          <w:rFonts w:ascii="Times New Roman" w:hAnsi="Times New Roman" w:cs="Times New Roman"/>
          <w:sz w:val="24"/>
          <w:szCs w:val="24"/>
        </w:rPr>
        <w:t xml:space="preserve"> alters the ASN program implying the plaintiff does not qualify to be named disabled. </w:t>
      </w:r>
      <w:r w:rsidR="00C319C8" w:rsidRPr="000E59F5">
        <w:rPr>
          <w:rFonts w:ascii="Times New Roman" w:hAnsi="Times New Roman" w:cs="Times New Roman"/>
          <w:sz w:val="24"/>
          <w:szCs w:val="24"/>
        </w:rPr>
        <w:t xml:space="preserve">It is the case because the interpreters would impact the patients' safety and be unlikely to result in good performance expected in the program. Similarly, the ADA says that one should not be allocated accommodations </w:t>
      </w:r>
      <w:r w:rsidR="00BE3E27">
        <w:rPr>
          <w:rFonts w:ascii="Times New Roman" w:hAnsi="Times New Roman" w:cs="Times New Roman"/>
          <w:sz w:val="24"/>
          <w:szCs w:val="24"/>
        </w:rPr>
        <w:t xml:space="preserve">during instances when accommodating </w:t>
      </w:r>
      <w:r w:rsidR="00C319C8" w:rsidRPr="000E59F5">
        <w:rPr>
          <w:rFonts w:ascii="Times New Roman" w:hAnsi="Times New Roman" w:cs="Times New Roman"/>
          <w:sz w:val="24"/>
          <w:szCs w:val="24"/>
        </w:rPr>
        <w:t xml:space="preserve">disabled </w:t>
      </w:r>
      <w:r w:rsidR="00BE3E27">
        <w:rPr>
          <w:rFonts w:ascii="Times New Roman" w:hAnsi="Times New Roman" w:cs="Times New Roman"/>
          <w:sz w:val="24"/>
          <w:szCs w:val="24"/>
        </w:rPr>
        <w:t>students in</w:t>
      </w:r>
      <w:r w:rsidR="00C319C8" w:rsidRPr="000E59F5">
        <w:rPr>
          <w:rFonts w:ascii="Times New Roman" w:hAnsi="Times New Roman" w:cs="Times New Roman"/>
          <w:sz w:val="24"/>
          <w:szCs w:val="24"/>
        </w:rPr>
        <w:t xml:space="preserve"> public </w:t>
      </w:r>
      <w:r w:rsidR="00BE3E27">
        <w:rPr>
          <w:rFonts w:ascii="Times New Roman" w:hAnsi="Times New Roman" w:cs="Times New Roman"/>
          <w:sz w:val="24"/>
          <w:szCs w:val="24"/>
        </w:rPr>
        <w:t>would result in</w:t>
      </w:r>
      <w:r w:rsidR="00C319C8" w:rsidRPr="000E59F5">
        <w:rPr>
          <w:rFonts w:ascii="Times New Roman" w:hAnsi="Times New Roman" w:cs="Times New Roman"/>
          <w:sz w:val="24"/>
          <w:szCs w:val="24"/>
        </w:rPr>
        <w:t xml:space="preserve"> a direct threat to</w:t>
      </w:r>
      <w:r w:rsidR="00CC20EE" w:rsidRPr="000E59F5">
        <w:rPr>
          <w:rFonts w:ascii="Times New Roman" w:hAnsi="Times New Roman" w:cs="Times New Roman"/>
          <w:sz w:val="24"/>
          <w:szCs w:val="24"/>
        </w:rPr>
        <w:t xml:space="preserve"> </w:t>
      </w:r>
      <w:r w:rsidR="00BE3E27">
        <w:rPr>
          <w:rFonts w:ascii="Times New Roman" w:hAnsi="Times New Roman" w:cs="Times New Roman"/>
          <w:sz w:val="24"/>
          <w:szCs w:val="24"/>
        </w:rPr>
        <w:t xml:space="preserve">health as well as safety of other students </w:t>
      </w:r>
      <w:r w:rsidR="00CC20EE" w:rsidRPr="000E59F5">
        <w:rPr>
          <w:rFonts w:ascii="Times New Roman" w:hAnsi="Times New Roman" w:cs="Times New Roman"/>
          <w:sz w:val="24"/>
          <w:szCs w:val="24"/>
        </w:rPr>
        <w:t xml:space="preserve">(Wells versus Lester E. Cox Medical Center, 2012). </w:t>
      </w:r>
      <w:r w:rsidR="00C319C8" w:rsidRPr="000E59F5">
        <w:rPr>
          <w:rFonts w:ascii="Times New Roman" w:hAnsi="Times New Roman" w:cs="Times New Roman"/>
          <w:sz w:val="24"/>
          <w:szCs w:val="24"/>
        </w:rPr>
        <w:t xml:space="preserve"> </w:t>
      </w:r>
      <w:r w:rsidR="000E59F5" w:rsidRPr="000E59F5">
        <w:rPr>
          <w:rFonts w:ascii="Times New Roman" w:hAnsi="Times New Roman" w:cs="Times New Roman"/>
          <w:sz w:val="24"/>
          <w:szCs w:val="24"/>
        </w:rPr>
        <w:t>The</w:t>
      </w:r>
      <w:r w:rsidR="00C319C8" w:rsidRPr="000E59F5">
        <w:rPr>
          <w:rFonts w:ascii="Times New Roman" w:hAnsi="Times New Roman" w:cs="Times New Roman"/>
          <w:sz w:val="24"/>
          <w:szCs w:val="24"/>
        </w:rPr>
        <w:t xml:space="preserve"> law implies that disabled people should not be allowed to show the institution controls discrimination at the expense of other parties such as patients.  </w:t>
      </w:r>
    </w:p>
    <w:p w14:paraId="4AE9D000" w14:textId="55FD9290" w:rsidR="000E59F5" w:rsidRPr="003E6948" w:rsidRDefault="00D31C11" w:rsidP="003E6948">
      <w:pPr>
        <w:spacing w:after="0" w:line="480" w:lineRule="auto"/>
        <w:contextualSpacing/>
        <w:rPr>
          <w:rFonts w:ascii="Times New Roman" w:hAnsi="Times New Roman" w:cs="Times New Roman"/>
          <w:sz w:val="24"/>
          <w:szCs w:val="24"/>
        </w:rPr>
      </w:pPr>
      <w:r w:rsidRPr="000E59F5">
        <w:rPr>
          <w:rFonts w:ascii="Times New Roman" w:hAnsi="Times New Roman" w:cs="Times New Roman"/>
          <w:b/>
          <w:sz w:val="24"/>
          <w:szCs w:val="24"/>
        </w:rPr>
        <w:t>Holding</w:t>
      </w:r>
      <w:r w:rsidR="003E6948">
        <w:rPr>
          <w:rFonts w:ascii="Times New Roman" w:hAnsi="Times New Roman" w:cs="Times New Roman"/>
          <w:sz w:val="24"/>
          <w:szCs w:val="24"/>
        </w:rPr>
        <w:t xml:space="preserve">: </w:t>
      </w:r>
      <w:r w:rsidRPr="000E59F5">
        <w:rPr>
          <w:rFonts w:ascii="Times New Roman" w:hAnsi="Times New Roman" w:cs="Times New Roman"/>
          <w:sz w:val="24"/>
          <w:szCs w:val="24"/>
        </w:rPr>
        <w:t xml:space="preserve">The court </w:t>
      </w:r>
      <w:r w:rsidR="000E59F5" w:rsidRPr="000E59F5">
        <w:rPr>
          <w:rFonts w:ascii="Times New Roman" w:hAnsi="Times New Roman" w:cs="Times New Roman"/>
          <w:sz w:val="24"/>
          <w:szCs w:val="24"/>
        </w:rPr>
        <w:t>favored the</w:t>
      </w:r>
      <w:r w:rsidRPr="000E59F5">
        <w:rPr>
          <w:rFonts w:ascii="Times New Roman" w:hAnsi="Times New Roman" w:cs="Times New Roman"/>
          <w:sz w:val="24"/>
          <w:szCs w:val="24"/>
        </w:rPr>
        <w:t xml:space="preserve"> College </w:t>
      </w:r>
      <w:r w:rsidR="00BE3E27">
        <w:rPr>
          <w:rFonts w:ascii="Times New Roman" w:hAnsi="Times New Roman" w:cs="Times New Roman"/>
          <w:sz w:val="24"/>
          <w:szCs w:val="24"/>
        </w:rPr>
        <w:t xml:space="preserve">claiming that </w:t>
      </w:r>
      <w:r w:rsidRPr="000E59F5">
        <w:rPr>
          <w:rFonts w:ascii="Times New Roman" w:hAnsi="Times New Roman" w:cs="Times New Roman"/>
          <w:sz w:val="24"/>
          <w:szCs w:val="24"/>
        </w:rPr>
        <w:t xml:space="preserve">the defendant </w:t>
      </w:r>
      <w:r w:rsidR="00BE3E27">
        <w:rPr>
          <w:rFonts w:ascii="Times New Roman" w:hAnsi="Times New Roman" w:cs="Times New Roman"/>
          <w:sz w:val="24"/>
          <w:szCs w:val="24"/>
        </w:rPr>
        <w:t>brought up its arguement</w:t>
      </w:r>
      <w:r w:rsidRPr="000E59F5">
        <w:rPr>
          <w:rFonts w:ascii="Times New Roman" w:hAnsi="Times New Roman" w:cs="Times New Roman"/>
          <w:sz w:val="24"/>
          <w:szCs w:val="24"/>
        </w:rPr>
        <w:t xml:space="preserve"> deny plaintiff </w:t>
      </w:r>
      <w:r w:rsidR="00BE3E27">
        <w:rPr>
          <w:rFonts w:ascii="Times New Roman" w:hAnsi="Times New Roman" w:cs="Times New Roman"/>
          <w:sz w:val="24"/>
          <w:szCs w:val="24"/>
        </w:rPr>
        <w:t xml:space="preserve">enrollment </w:t>
      </w:r>
      <w:r w:rsidRPr="000E59F5">
        <w:rPr>
          <w:rFonts w:ascii="Times New Roman" w:hAnsi="Times New Roman" w:cs="Times New Roman"/>
          <w:sz w:val="24"/>
          <w:szCs w:val="24"/>
        </w:rPr>
        <w:t>to the program on</w:t>
      </w:r>
      <w:r w:rsidR="00BE3E27">
        <w:rPr>
          <w:rFonts w:ascii="Times New Roman" w:hAnsi="Times New Roman" w:cs="Times New Roman"/>
          <w:sz w:val="24"/>
          <w:szCs w:val="24"/>
        </w:rPr>
        <w:t xml:space="preserve"> the basis of objective evidence.</w:t>
      </w:r>
      <w:bookmarkStart w:id="0" w:name="_GoBack"/>
      <w:bookmarkEnd w:id="0"/>
      <w:r w:rsidRPr="000E59F5">
        <w:rPr>
          <w:rFonts w:ascii="Times New Roman" w:hAnsi="Times New Roman" w:cs="Times New Roman"/>
          <w:sz w:val="24"/>
          <w:szCs w:val="24"/>
        </w:rPr>
        <w:t xml:space="preserve"> It means the College did not violate the law, as reported by the student, because she did not qualify being treated as disabled based on MHRA and the ADA.  </w:t>
      </w:r>
    </w:p>
    <w:p w14:paraId="06DD601A" w14:textId="77777777" w:rsidR="003E6948" w:rsidRDefault="003E6948">
      <w:pPr>
        <w:rPr>
          <w:rFonts w:ascii="Times New Roman" w:hAnsi="Times New Roman" w:cs="Times New Roman"/>
          <w:b/>
          <w:sz w:val="24"/>
          <w:szCs w:val="24"/>
        </w:rPr>
      </w:pPr>
      <w:r>
        <w:rPr>
          <w:rFonts w:ascii="Times New Roman" w:hAnsi="Times New Roman" w:cs="Times New Roman"/>
          <w:b/>
          <w:sz w:val="24"/>
          <w:szCs w:val="24"/>
        </w:rPr>
        <w:br w:type="page"/>
      </w:r>
    </w:p>
    <w:p w14:paraId="75BC7F96" w14:textId="77777777" w:rsidR="00E56F95" w:rsidRPr="000E59F5" w:rsidRDefault="00D31C11" w:rsidP="000E59F5">
      <w:pPr>
        <w:spacing w:line="480" w:lineRule="auto"/>
        <w:jc w:val="center"/>
        <w:rPr>
          <w:rFonts w:ascii="Times New Roman" w:hAnsi="Times New Roman" w:cs="Times New Roman"/>
          <w:b/>
          <w:sz w:val="24"/>
          <w:szCs w:val="24"/>
        </w:rPr>
      </w:pPr>
      <w:r w:rsidRPr="000E59F5">
        <w:rPr>
          <w:rFonts w:ascii="Times New Roman" w:hAnsi="Times New Roman" w:cs="Times New Roman"/>
          <w:b/>
          <w:sz w:val="24"/>
          <w:szCs w:val="24"/>
        </w:rPr>
        <w:lastRenderedPageBreak/>
        <w:t>Reference</w:t>
      </w:r>
    </w:p>
    <w:p w14:paraId="5B779BE5" w14:textId="77777777" w:rsidR="00E56F95" w:rsidRPr="000E59F5" w:rsidRDefault="00D31C11" w:rsidP="000E59F5">
      <w:pPr>
        <w:spacing w:after="0" w:line="480" w:lineRule="auto"/>
        <w:ind w:left="720" w:hanging="720"/>
        <w:contextualSpacing/>
        <w:rPr>
          <w:rFonts w:ascii="Times New Roman" w:hAnsi="Times New Roman" w:cs="Times New Roman"/>
          <w:sz w:val="24"/>
          <w:szCs w:val="24"/>
        </w:rPr>
      </w:pPr>
      <w:r w:rsidRPr="000E59F5">
        <w:rPr>
          <w:rFonts w:ascii="Times New Roman" w:hAnsi="Times New Roman" w:cs="Times New Roman"/>
          <w:sz w:val="24"/>
          <w:szCs w:val="24"/>
        </w:rPr>
        <w:t>Wells versus Lester E. Cox Medical Center. (9</w:t>
      </w:r>
      <w:r w:rsidRPr="000E59F5">
        <w:rPr>
          <w:rFonts w:ascii="Times New Roman" w:hAnsi="Times New Roman" w:cs="Times New Roman"/>
          <w:sz w:val="24"/>
          <w:szCs w:val="24"/>
          <w:vertAlign w:val="superscript"/>
        </w:rPr>
        <w:t>th</w:t>
      </w:r>
      <w:r w:rsidRPr="000E59F5">
        <w:rPr>
          <w:rFonts w:ascii="Times New Roman" w:hAnsi="Times New Roman" w:cs="Times New Roman"/>
          <w:sz w:val="24"/>
          <w:szCs w:val="24"/>
        </w:rPr>
        <w:t xml:space="preserve"> October 2012). </w:t>
      </w:r>
      <w:r w:rsidRPr="000E59F5">
        <w:rPr>
          <w:rFonts w:ascii="Times New Roman" w:hAnsi="Times New Roman" w:cs="Times New Roman"/>
          <w:sz w:val="24"/>
          <w:szCs w:val="24"/>
          <w:shd w:val="clear" w:color="auto" w:fill="FFFFFF"/>
        </w:rPr>
        <w:t>Missouri Court of Appeals, Southern District, Division Two. https://www.leagle.com/decision/inmoco20121009274</w:t>
      </w:r>
    </w:p>
    <w:sectPr w:rsidR="00E56F95" w:rsidRPr="000E59F5" w:rsidSect="000E59F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3A9CF7" w14:textId="77777777" w:rsidR="00EE6249" w:rsidRDefault="00EE6249" w:rsidP="000E59F5">
      <w:pPr>
        <w:spacing w:after="0" w:line="240" w:lineRule="auto"/>
      </w:pPr>
      <w:r>
        <w:separator/>
      </w:r>
    </w:p>
  </w:endnote>
  <w:endnote w:type="continuationSeparator" w:id="0">
    <w:p w14:paraId="7A3D9E28" w14:textId="77777777" w:rsidR="00EE6249" w:rsidRDefault="00EE6249" w:rsidP="000E5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E393EB" w14:textId="77777777" w:rsidR="00EE6249" w:rsidRDefault="00EE6249" w:rsidP="000E59F5">
      <w:pPr>
        <w:spacing w:after="0" w:line="240" w:lineRule="auto"/>
      </w:pPr>
      <w:r>
        <w:separator/>
      </w:r>
    </w:p>
  </w:footnote>
  <w:footnote w:type="continuationSeparator" w:id="0">
    <w:p w14:paraId="18BC5BFD" w14:textId="77777777" w:rsidR="00EE6249" w:rsidRDefault="00EE6249" w:rsidP="000E59F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E4B"/>
    <w:rsid w:val="000029E2"/>
    <w:rsid w:val="00014D15"/>
    <w:rsid w:val="00017A45"/>
    <w:rsid w:val="00027AC1"/>
    <w:rsid w:val="00063E4B"/>
    <w:rsid w:val="000E59F5"/>
    <w:rsid w:val="000F2077"/>
    <w:rsid w:val="00171A20"/>
    <w:rsid w:val="003E6948"/>
    <w:rsid w:val="006351A3"/>
    <w:rsid w:val="006E6E38"/>
    <w:rsid w:val="007A5B37"/>
    <w:rsid w:val="008A571E"/>
    <w:rsid w:val="00BE3E27"/>
    <w:rsid w:val="00C319C8"/>
    <w:rsid w:val="00CA6D61"/>
    <w:rsid w:val="00CC20EE"/>
    <w:rsid w:val="00D31C11"/>
    <w:rsid w:val="00D609D6"/>
    <w:rsid w:val="00DD6BAB"/>
    <w:rsid w:val="00DD79B6"/>
    <w:rsid w:val="00E56F95"/>
    <w:rsid w:val="00EE6249"/>
    <w:rsid w:val="00FD4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B5C7F"/>
  <w15:docId w15:val="{182B843F-6366-4119-B01F-DA8A968AA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59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9F5"/>
  </w:style>
  <w:style w:type="paragraph" w:styleId="Footer">
    <w:name w:val="footer"/>
    <w:basedOn w:val="Normal"/>
    <w:link w:val="FooterChar"/>
    <w:uiPriority w:val="99"/>
    <w:unhideWhenUsed/>
    <w:rsid w:val="000E59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9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3</Pages>
  <Words>613</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6</cp:revision>
  <dcterms:created xsi:type="dcterms:W3CDTF">2020-10-19T10:10:00Z</dcterms:created>
  <dcterms:modified xsi:type="dcterms:W3CDTF">2020-10-20T15:57:00Z</dcterms:modified>
</cp:coreProperties>
</file>